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22" w:rsidRDefault="00E61BCD">
      <w:pPr>
        <w:pStyle w:val="cmjNASLOV"/>
      </w:pPr>
      <w:r>
        <w:t>Glikoprotein YKL-40: novi biomarker aktivnosti i težine kronične bolesti presatka protiv domaćina?</w:t>
      </w:r>
    </w:p>
    <w:p w:rsidR="000B3522" w:rsidRDefault="000B3522">
      <w:pPr>
        <w:pStyle w:val="StandardWeb"/>
        <w:spacing w:line="360" w:lineRule="auto"/>
        <w:jc w:val="center"/>
        <w:rPr>
          <w:rFonts w:ascii="Arial" w:hAnsi="Arial" w:cs="Arial"/>
          <w:sz w:val="20"/>
          <w:szCs w:val="20"/>
          <w:lang w:val="hr-HR"/>
        </w:rPr>
      </w:pPr>
    </w:p>
    <w:p w:rsidR="000B3522" w:rsidRDefault="000B3522">
      <w:pPr>
        <w:pStyle w:val="cmjTEXT"/>
      </w:pPr>
    </w:p>
    <w:p w:rsidR="000B3522" w:rsidRDefault="00E61BCD">
      <w:pPr>
        <w:pStyle w:val="cmjTEXT"/>
      </w:pPr>
      <w:r>
        <w:rPr>
          <w:b/>
          <w:iCs/>
        </w:rPr>
        <w:t>Cilj</w:t>
      </w:r>
      <w:r>
        <w:t xml:space="preserve"> Utvrditi koreliraju li povišene razine YKL-40 pozitivno s aktivnošću i težinom kronične bolesti presatka protiv domaćina (prema engl. </w:t>
      </w:r>
      <w:r>
        <w:rPr>
          <w:i/>
          <w:iCs/>
        </w:rPr>
        <w:t xml:space="preserve">chronic </w:t>
      </w:r>
      <w:r>
        <w:rPr>
          <w:bCs/>
          <w:i/>
          <w:iCs/>
        </w:rPr>
        <w:t xml:space="preserve">graft </w:t>
      </w:r>
      <w:r>
        <w:rPr>
          <w:bCs/>
          <w:i/>
          <w:iCs/>
        </w:rPr>
        <w:t>versus host disease</w:t>
      </w:r>
      <w:r>
        <w:rPr>
          <w:bCs/>
        </w:rPr>
        <w:t xml:space="preserve"> cGVHD) </w:t>
      </w:r>
      <w:r>
        <w:t>i može li YKL-40 poslužiti kao biomarker za ovu bolest.</w:t>
      </w:r>
    </w:p>
    <w:p w:rsidR="000B3522" w:rsidRDefault="00E61BCD">
      <w:pPr>
        <w:pStyle w:val="cmjTEXT"/>
      </w:pPr>
      <w:r>
        <w:rPr>
          <w:b/>
          <w:iCs/>
        </w:rPr>
        <w:t>Postupci</w:t>
      </w:r>
      <w:r>
        <w:t xml:space="preserve"> Ova studija parova provedena je u Kliničko-bolničkom centru “Zagreb” u razdoblju od srpnja 2013. do listopada 2015. Uključili smo 56 pacijenata podvrgnutih transpla</w:t>
      </w:r>
      <w:r>
        <w:t xml:space="preserve">ntaciji krvotvornih matičnih stanica (prema engl. </w:t>
      </w:r>
      <w:r>
        <w:rPr>
          <w:i/>
          <w:iCs/>
        </w:rPr>
        <w:t>hematopoietic stem cell transplantation</w:t>
      </w:r>
      <w:r>
        <w:t>, HSCT): 35 pacijenata sa cGVHD i 21 bez cGVHD. Među skupinama nije bilo razlika u dobi, spolu, medijanu vremena od transplantacije do uključenja u istraživanje, inten</w:t>
      </w:r>
      <w:r>
        <w:t>zitetu kondicioniranja, tipu davatelja ili izvoru matičnih stanica. Uzorci krvi prikupljeni su pri uključenju u istraživanje, a razine YKL-40 mjerene su metodom ELISA. Aktivnost bolesti ocijenjena je uz pomoć ljestvica</w:t>
      </w:r>
      <w:r>
        <w:t xml:space="preserve"> Aktivnost prema dojmu kliničara</w:t>
      </w:r>
      <w:r>
        <w:t xml:space="preserve"> </w:t>
      </w:r>
      <w:r>
        <w:t>(prema eng</w:t>
      </w:r>
      <w:r>
        <w:t>l.</w:t>
      </w:r>
      <w:r>
        <w:t xml:space="preserve"> </w:t>
      </w:r>
      <w:r w:rsidR="000B3522" w:rsidRPr="000B3522">
        <w:rPr>
          <w:i/>
          <w:iCs/>
        </w:rPr>
        <w:t>Clinician’s Impression of Activity</w:t>
      </w:r>
      <w:r>
        <w:t>) i Intenzitet imunosupresije (prema eng</w:t>
      </w:r>
      <w:r>
        <w:t>l.</w:t>
      </w:r>
      <w:r>
        <w:t xml:space="preserve"> </w:t>
      </w:r>
      <w:r w:rsidR="000B3522" w:rsidRPr="000B3522">
        <w:rPr>
          <w:i/>
          <w:iCs/>
        </w:rPr>
        <w:t>Intensity of Immunosuppression</w:t>
      </w:r>
      <w:r>
        <w:t>), a težina bolesti uz pomoć ukupnog izračuna Nacionalnih instituta za zdravlje SAD-a (</w:t>
      </w:r>
      <w:r>
        <w:t xml:space="preserve">prema </w:t>
      </w:r>
      <w:r>
        <w:t>engl</w:t>
      </w:r>
      <w:r>
        <w:t>.</w:t>
      </w:r>
      <w:r>
        <w:t xml:space="preserve"> </w:t>
      </w:r>
      <w:r w:rsidR="000B3522" w:rsidRPr="000B3522">
        <w:rPr>
          <w:i/>
          <w:iCs/>
        </w:rPr>
        <w:t>National Institutes of Health</w:t>
      </w:r>
      <w:r>
        <w:t>, NIH).</w:t>
      </w:r>
    </w:p>
    <w:p w:rsidR="000B3522" w:rsidRDefault="00E61BCD">
      <w:pPr>
        <w:pStyle w:val="cmjTEXT"/>
      </w:pPr>
      <w:r>
        <w:rPr>
          <w:b/>
          <w:iCs/>
        </w:rPr>
        <w:t>Rezultati</w:t>
      </w:r>
      <w:r>
        <w:t xml:space="preserve"> Razina </w:t>
      </w:r>
      <w:r>
        <w:rPr>
          <w:bCs/>
        </w:rPr>
        <w:t>YKL-40 bila je značajno viša kod pacijenata s cGVHD nego kod kontrolnih ispitanika (</w:t>
      </w:r>
      <w:r>
        <w:rPr>
          <w:bCs/>
          <w:i/>
        </w:rPr>
        <w:t>P</w:t>
      </w:r>
      <w:r>
        <w:rPr>
          <w:bCs/>
        </w:rPr>
        <w:t xml:space="preserve">=0,003). Razlika je ostala značajna nakon što su </w:t>
      </w:r>
      <w:r>
        <w:t>iz analize isključeni</w:t>
      </w:r>
      <w:r>
        <w:rPr>
          <w:bCs/>
        </w:rPr>
        <w:t xml:space="preserve"> pacijenti s </w:t>
      </w:r>
      <w:r>
        <w:t>mijelofibrozom (</w:t>
      </w:r>
      <w:r>
        <w:rPr>
          <w:i/>
        </w:rPr>
        <w:t>P</w:t>
      </w:r>
      <w:r>
        <w:t xml:space="preserve">=0,017). Razina </w:t>
      </w:r>
      <w:r>
        <w:rPr>
          <w:bCs/>
        </w:rPr>
        <w:t>YKL-40 znač</w:t>
      </w:r>
      <w:r>
        <w:rPr>
          <w:bCs/>
        </w:rPr>
        <w:t>ajno je pozitivno korelirala s težinom bolesti (</w:t>
      </w:r>
      <w:r>
        <w:rPr>
          <w:i/>
        </w:rPr>
        <w:t>P</w:t>
      </w:r>
      <w:r>
        <w:t xml:space="preserve">&lt;0,001; korelacijski koeficijent 0,455), i aktivnošću procijenjenom </w:t>
      </w:r>
      <w:r>
        <w:rPr>
          <w:bCs/>
        </w:rPr>
        <w:t xml:space="preserve">ljestvicom </w:t>
      </w:r>
      <w:r>
        <w:rPr>
          <w:bCs/>
        </w:rPr>
        <w:t>Aktivnos</w:t>
      </w:r>
      <w:r>
        <w:rPr>
          <w:bCs/>
        </w:rPr>
        <w:t>ti prema dojmu kliničara</w:t>
      </w:r>
      <w:r>
        <w:t xml:space="preserve"> (</w:t>
      </w:r>
      <w:r>
        <w:rPr>
          <w:i/>
        </w:rPr>
        <w:t>P</w:t>
      </w:r>
      <w:r>
        <w:t xml:space="preserve">=0,016; korelacijski koeficijent 0,412), </w:t>
      </w:r>
      <w:r>
        <w:rPr>
          <w:bCs/>
        </w:rPr>
        <w:t xml:space="preserve">ali ne i s </w:t>
      </w:r>
      <w:r>
        <w:t xml:space="preserve">aktivnošću procijenjenom </w:t>
      </w:r>
      <w:r>
        <w:rPr>
          <w:bCs/>
        </w:rPr>
        <w:t xml:space="preserve">ljestvicom </w:t>
      </w:r>
      <w:r>
        <w:t>Intenzitet</w:t>
      </w:r>
      <w:r>
        <w:t>a</w:t>
      </w:r>
      <w:r>
        <w:t xml:space="preserve"> imunosupresije (</w:t>
      </w:r>
      <w:r>
        <w:rPr>
          <w:i/>
        </w:rPr>
        <w:t>P</w:t>
      </w:r>
      <w:r>
        <w:t>=0.085; korelacijski koeficijent 0,296)</w:t>
      </w:r>
      <w:r>
        <w:rPr>
          <w:bCs/>
        </w:rPr>
        <w:t xml:space="preserve">. </w:t>
      </w:r>
    </w:p>
    <w:p w:rsidR="000B3522" w:rsidRDefault="00E61BCD">
      <w:pPr>
        <w:pStyle w:val="cmjTEXT"/>
        <w:rPr>
          <w:bCs/>
        </w:rPr>
      </w:pPr>
      <w:r>
        <w:rPr>
          <w:b/>
          <w:iCs/>
        </w:rPr>
        <w:t>Zaključak</w:t>
      </w:r>
      <w:r>
        <w:t xml:space="preserve"> Iako je naše istraživanje pokazalo da se </w:t>
      </w:r>
      <w:r>
        <w:rPr>
          <w:bCs/>
        </w:rPr>
        <w:t xml:space="preserve">YKL-40 može </w:t>
      </w:r>
      <w:bookmarkStart w:id="0" w:name="_GoBack"/>
      <w:bookmarkEnd w:id="0"/>
      <w:r>
        <w:rPr>
          <w:bCs/>
        </w:rPr>
        <w:t xml:space="preserve">smatrati biomarkerom aktivnosti i težine cGVHD, naše rezultate potrebno je validirati </w:t>
      </w:r>
      <w:r>
        <w:rPr>
          <w:bCs/>
        </w:rPr>
        <w:t xml:space="preserve">na većoj skupini pacijenata koristeći longitudinalno testiranje YKL-40 razina kod pacijenata kod kojih postoji rizik obolijevanja od cGVHD. </w:t>
      </w:r>
    </w:p>
    <w:p w:rsidR="000B3522" w:rsidRDefault="000B3522">
      <w:pPr>
        <w:pStyle w:val="cmjTEXT"/>
      </w:pPr>
    </w:p>
    <w:p w:rsidR="000B3522" w:rsidRDefault="000B3522">
      <w:pPr>
        <w:pStyle w:val="cmjTEXT"/>
        <w:rPr>
          <w:vertAlign w:val="superscript"/>
        </w:rPr>
      </w:pPr>
    </w:p>
    <w:p w:rsidR="000B3522" w:rsidRDefault="000B3522">
      <w:pPr>
        <w:pStyle w:val="cmjTEXT"/>
      </w:pPr>
    </w:p>
    <w:p w:rsidR="000B3522" w:rsidRDefault="000B3522">
      <w:pPr>
        <w:spacing w:line="360" w:lineRule="auto"/>
        <w:rPr>
          <w:color w:val="000000"/>
          <w:lang w:val="hr-HR"/>
        </w:rPr>
      </w:pPr>
    </w:p>
    <w:p w:rsidR="000B3522" w:rsidRDefault="000B3522">
      <w:pPr>
        <w:pStyle w:val="Heading2"/>
        <w:spacing w:line="360" w:lineRule="auto"/>
        <w:jc w:val="left"/>
      </w:pPr>
    </w:p>
    <w:sectPr w:rsidR="000B3522" w:rsidSect="000B3522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CD" w:rsidRDefault="00E61BCD" w:rsidP="000B3522">
      <w:r>
        <w:separator/>
      </w:r>
    </w:p>
  </w:endnote>
  <w:endnote w:type="continuationSeparator" w:id="0">
    <w:p w:rsidR="00E61BCD" w:rsidRDefault="00E61BCD" w:rsidP="000B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522" w:rsidRDefault="000B3522">
    <w:pPr>
      <w:pStyle w:val="Footer"/>
    </w:pPr>
    <w:r w:rsidRPr="000B3522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0B3522" w:rsidRDefault="000B3522">
                <w:pPr>
                  <w:pStyle w:val="Footer"/>
                </w:pPr>
                <w:r w:rsidRPr="000B3522">
                  <w:rPr>
                    <w:rStyle w:val="Brojstranice"/>
                  </w:rPr>
                  <w:fldChar w:fldCharType="begin"/>
                </w:r>
                <w:r w:rsidR="00E61BCD">
                  <w:instrText>PAGE</w:instrText>
                </w:r>
                <w:r>
                  <w:fldChar w:fldCharType="separate"/>
                </w:r>
                <w:r w:rsidR="009D1CC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CD" w:rsidRDefault="00E61BCD" w:rsidP="000B3522">
      <w:r>
        <w:separator/>
      </w:r>
    </w:p>
  </w:footnote>
  <w:footnote w:type="continuationSeparator" w:id="0">
    <w:p w:rsidR="00E61BCD" w:rsidRDefault="00E61BCD" w:rsidP="000B3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3522"/>
    <w:rsid w:val="000B3522"/>
    <w:rsid w:val="009D1CCB"/>
    <w:rsid w:val="00E6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00B"/>
    <w:rPr>
      <w:rFonts w:ascii="Cambria" w:eastAsia="MS ??" w:hAnsi="Cambri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outlineLvl w:val="0"/>
    </w:pPr>
    <w:rPr>
      <w:rFonts w:ascii="Times New Roman" w:eastAsia="Times New Roman" w:hAnsi="Times New Roman"/>
      <w:b/>
      <w:bCs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ascii="Times New Roman" w:eastAsia="Times New Roman" w:hAnsi="Times New Roman"/>
      <w:b/>
      <w:bCs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outlineLvl w:val="2"/>
    </w:pPr>
    <w:rPr>
      <w:rFonts w:ascii="Times New Roman" w:eastAsia="Times New Roman" w:hAnsi="Times New Roman"/>
      <w:b/>
      <w:bCs/>
      <w:sz w:val="22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line="480" w:lineRule="auto"/>
      <w:outlineLvl w:val="3"/>
    </w:pPr>
    <w:rPr>
      <w:rFonts w:ascii="TimesRoman" w:eastAsia="Times New Roman" w:hAnsi="TimesRoman"/>
      <w:b/>
      <w:bCs/>
      <w:lang w:val="tr-TR" w:eastAsia="tr-TR"/>
    </w:rPr>
  </w:style>
  <w:style w:type="character" w:customStyle="1" w:styleId="InternetLink">
    <w:name w:val="Internet Link"/>
    <w:basedOn w:val="Zadanifontodlomka"/>
    <w:semiHidden/>
    <w:rsid w:val="003861D4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3861D4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3861D4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rsid w:val="000B3522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3861D4"/>
    <w:pPr>
      <w:jc w:val="both"/>
    </w:pPr>
    <w:rPr>
      <w:rFonts w:ascii="Times New Roman" w:eastAsia="Times New Roman" w:hAnsi="Times New Roman"/>
      <w:lang w:val="sl-SI" w:eastAsia="tr-TR"/>
    </w:rPr>
  </w:style>
  <w:style w:type="paragraph" w:styleId="Popis">
    <w:name w:val="List"/>
    <w:basedOn w:val="TextBody"/>
    <w:rsid w:val="000B3522"/>
    <w:rPr>
      <w:rFonts w:cs="Lucida Sans"/>
    </w:rPr>
  </w:style>
  <w:style w:type="paragraph" w:customStyle="1" w:styleId="Caption">
    <w:name w:val="Caption"/>
    <w:basedOn w:val="Normal"/>
    <w:qFormat/>
    <w:rsid w:val="000B352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0B3522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3861D4"/>
    <w:pPr>
      <w:jc w:val="both"/>
    </w:pPr>
    <w:rPr>
      <w:rFonts w:ascii="Times New Roman" w:eastAsia="Times New Roman" w:hAnsi="Times New Roman"/>
      <w:lang w:val="tr-TR" w:eastAsia="tr-TR"/>
    </w:rPr>
  </w:style>
  <w:style w:type="paragraph" w:styleId="Tijeloteksta3">
    <w:name w:val="Body Text 3"/>
    <w:basedOn w:val="Normal"/>
    <w:semiHidden/>
    <w:qFormat/>
    <w:rsid w:val="003861D4"/>
    <w:pPr>
      <w:jc w:val="both"/>
    </w:pPr>
    <w:rPr>
      <w:rFonts w:ascii="Times New Roman" w:eastAsia="Times New Roman" w:hAnsi="Times New Roman"/>
      <w:lang w:val="tr-TR" w:eastAsia="tr-TR"/>
    </w:rPr>
  </w:style>
  <w:style w:type="paragraph" w:styleId="Blokteksta">
    <w:name w:val="Block Text"/>
    <w:basedOn w:val="Normal"/>
    <w:semiHidden/>
    <w:qFormat/>
    <w:rsid w:val="003861D4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4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4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4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4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4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semiHidden/>
    <w:qFormat/>
    <w:rsid w:val="00027E87"/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line="360" w:lineRule="auto"/>
    </w:pPr>
    <w:rPr>
      <w:rFonts w:ascii="Times New Roman" w:eastAsia="Times New Roman" w:hAnsi="Times New Roman"/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rFonts w:ascii="Times New Roman" w:eastAsia="Times New Roman" w:hAnsi="Times New Roman"/>
      <w:color w:val="000000"/>
      <w:lang w:val="tr-TR" w:eastAsia="tr-TR"/>
    </w:rPr>
  </w:style>
  <w:style w:type="paragraph" w:styleId="StandardWeb">
    <w:name w:val="Normal (Web)"/>
    <w:basedOn w:val="Normal"/>
    <w:uiPriority w:val="99"/>
    <w:unhideWhenUsed/>
    <w:qFormat/>
    <w:rsid w:val="0091200B"/>
    <w:rPr>
      <w:rFonts w:ascii="Times New Roman" w:hAnsi="Times New Roman"/>
    </w:rPr>
  </w:style>
  <w:style w:type="paragraph" w:customStyle="1" w:styleId="FrameContents">
    <w:name w:val="Frame Contents"/>
    <w:basedOn w:val="Normal"/>
    <w:qFormat/>
    <w:rsid w:val="000B35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Company>Medicinski fakultet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11</cp:revision>
  <cp:lastPrinted>2007-04-24T13:16:00Z</cp:lastPrinted>
  <dcterms:created xsi:type="dcterms:W3CDTF">2016-07-18T10:50:00Z</dcterms:created>
  <dcterms:modified xsi:type="dcterms:W3CDTF">2016-09-05T13:38:00Z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